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16" w:rsidRPr="00BA2816" w:rsidRDefault="00BA2816" w:rsidP="00BA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816" w:rsidRDefault="00BA2816" w:rsidP="0038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REGULAMENTUL DE </w:t>
      </w:r>
      <w:r w:rsidR="00384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ORGANIZARE ȘI </w:t>
      </w: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FUNCȚIONARE</w:t>
      </w:r>
    </w:p>
    <w:p w:rsidR="003849CF" w:rsidRPr="00BA2816" w:rsidRDefault="003849CF" w:rsidP="0038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2816" w:rsidRPr="00BA2816" w:rsidRDefault="003849CF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49CF">
        <w:rPr>
          <w:rFonts w:ascii="Times New Roman" w:eastAsia="Times New Roman" w:hAnsi="Times New Roman" w:cs="Times New Roman"/>
          <w:b/>
          <w:sz w:val="24"/>
          <w:szCs w:val="24"/>
        </w:rPr>
        <w:t>Preambul</w:t>
      </w:r>
      <w:proofErr w:type="spellEnd"/>
      <w:r w:rsidRPr="003849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regulament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punere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constituire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e-Austria din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fondat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parteneriatul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Calcul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Simbolic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(RISC) din Austria,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Vest din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(UVT)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Politehnica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="00BA2816" w:rsidRPr="00BA2816">
        <w:rPr>
          <w:rFonts w:ascii="Times New Roman" w:eastAsia="Times New Roman" w:hAnsi="Times New Roman" w:cs="Times New Roman"/>
          <w:sz w:val="24"/>
          <w:szCs w:val="24"/>
        </w:rPr>
        <w:t xml:space="preserve"> (UPT).</w:t>
      </w:r>
    </w:p>
    <w:p w:rsidR="00E039BA" w:rsidRDefault="00E039BA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49CF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componența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49CF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condus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Adunarea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Cenzorul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9CF">
        <w:rPr>
          <w:rFonts w:ascii="Times New Roman" w:eastAsia="Times New Roman" w:hAnsi="Times New Roman" w:cs="Times New Roman"/>
          <w:bCs/>
          <w:sz w:val="24"/>
          <w:szCs w:val="24"/>
        </w:rPr>
        <w:t>Consiliul</w:t>
      </w:r>
      <w:proofErr w:type="spellEnd"/>
      <w:r w:rsidRPr="00384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9CF">
        <w:rPr>
          <w:rFonts w:ascii="Times New Roman" w:eastAsia="Times New Roman" w:hAnsi="Times New Roman" w:cs="Times New Roman"/>
          <w:bCs/>
          <w:sz w:val="24"/>
          <w:szCs w:val="24"/>
        </w:rPr>
        <w:t>Științific</w:t>
      </w:r>
      <w:proofErr w:type="spellEnd"/>
      <w:r w:rsidRPr="003849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Adunarea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generală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suprem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convoacă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281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președintele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director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2816" w:rsidRPr="00BA2816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3.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Director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punerea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execuție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adunării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competențele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numără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816" w:rsidRPr="00BA2816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Analizează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îndrumă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sancționează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retribuția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Analizează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respinge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organigrama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grila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salarizare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sarcinile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director.</w:t>
      </w:r>
    </w:p>
    <w:p w:rsidR="00BA2816" w:rsidRPr="00BA2816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>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an.</w:t>
      </w:r>
    </w:p>
    <w:p w:rsidR="00BA2816" w:rsidRPr="00BA2816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Transferă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negocia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semna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parte, cu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răspunderii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9BA" w:rsidRDefault="00BA2816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hotărî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întreruperea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contract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neîndeplinirea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sarcinilor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Deciziile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majoritatea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simplă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prezența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putând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reprezentanți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</w:t>
      </w:r>
      <w:r w:rsidR="00E039BA">
        <w:rPr>
          <w:rFonts w:ascii="Times New Roman" w:eastAsia="Times New Roman" w:hAnsi="Times New Roman" w:cs="Times New Roman"/>
          <w:sz w:val="24"/>
          <w:szCs w:val="24"/>
        </w:rPr>
        <w:t>municare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telefonică</w:t>
      </w:r>
      <w:proofErr w:type="spellEnd"/>
    </w:p>
    <w:p w:rsidR="00BA2816" w:rsidRPr="00BA2816" w:rsidRDefault="00E039BA" w:rsidP="00384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Director are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Director. </w:t>
      </w:r>
    </w:p>
    <w:p w:rsidR="00BA2816" w:rsidRPr="00BA2816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Art. 4.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Științific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reglementa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orienta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monitoriza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numără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816" w:rsidRPr="00BA2816" w:rsidRDefault="00BA2816" w:rsidP="00384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revizuiește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responsabilitatea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săi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mențină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actualizate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etice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reglementările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Spațiului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European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componența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înaintând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 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9BA" w:rsidRDefault="00BA2816" w:rsidP="00384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supravegherea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menținerii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conduită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2816" w:rsidRPr="00BA2816" w:rsidRDefault="00BA2816" w:rsidP="00384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Eventualele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grave de la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etica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sesizate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analizate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 la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central,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cătr</w:t>
      </w:r>
      <w:r w:rsidR="00E039B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039BA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="00E03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5.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Cenzorul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intern 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2816" w:rsidRPr="00BA2816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6.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Conducerea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operativă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asigurată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Director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curentă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permanentă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răspunde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Adunării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relațiile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organigrama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grila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salarizare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sarcinile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816" w:rsidRPr="00BA2816" w:rsidRDefault="00BA2816" w:rsidP="003849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Adunării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9BA" w:rsidRDefault="00E039BA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împarte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: personal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producție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IT, personal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8.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Personalul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cercetare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producție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IT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format din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cercetători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cadre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doctoranzi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Aceștia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strict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desfășoară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9.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Personalul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administrativ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nedefinită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Art. 10.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Personalul</w:t>
      </w:r>
      <w:proofErr w:type="spellEnd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9BA">
        <w:rPr>
          <w:rFonts w:ascii="Times New Roman" w:eastAsia="Times New Roman" w:hAnsi="Times New Roman" w:cs="Times New Roman"/>
          <w:bCs/>
          <w:sz w:val="24"/>
          <w:szCs w:val="24"/>
        </w:rPr>
        <w:t>temporar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contract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prestări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definită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administrative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producție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2816" w:rsidRPr="00BA2816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11.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Directorul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sarcinile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fiecărui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retribuția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angajate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încadrându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grilei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salarizare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Director.</w:t>
      </w:r>
    </w:p>
    <w:p w:rsidR="00E039BA" w:rsidRDefault="00E039BA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financiară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12.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desfășoară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13.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financiar-contabilă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operativă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cenzor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9BA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14.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raportează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Director.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controlate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director. </w:t>
      </w:r>
    </w:p>
    <w:p w:rsidR="00BA2816" w:rsidRPr="00BA2816" w:rsidRDefault="00BA2816" w:rsidP="0038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816">
        <w:rPr>
          <w:rFonts w:ascii="Times New Roman" w:eastAsia="Times New Roman" w:hAnsi="Times New Roman" w:cs="Times New Roman"/>
          <w:b/>
          <w:bCs/>
          <w:sz w:val="24"/>
          <w:szCs w:val="24"/>
        </w:rPr>
        <w:t>Art. 15.</w:t>
      </w:r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materială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dezvoltă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utilităților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A2816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BA2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96" w:rsidRDefault="00B36696" w:rsidP="003849CF">
      <w:pPr>
        <w:spacing w:after="0" w:line="240" w:lineRule="auto"/>
      </w:pPr>
      <w:r>
        <w:separator/>
      </w:r>
    </w:p>
  </w:endnote>
  <w:endnote w:type="continuationSeparator" w:id="0">
    <w:p w:rsidR="00B36696" w:rsidRDefault="00B36696" w:rsidP="0038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96" w:rsidRDefault="00B36696" w:rsidP="003849CF">
      <w:pPr>
        <w:spacing w:after="0" w:line="240" w:lineRule="auto"/>
      </w:pPr>
      <w:r>
        <w:separator/>
      </w:r>
    </w:p>
  </w:footnote>
  <w:footnote w:type="continuationSeparator" w:id="0">
    <w:p w:rsidR="00B36696" w:rsidRDefault="00B36696" w:rsidP="0038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3849CF" w:rsidTr="00351972">
      <w:tc>
        <w:tcPr>
          <w:tcW w:w="2088" w:type="dxa"/>
        </w:tcPr>
        <w:p w:rsidR="003849CF" w:rsidRDefault="003849CF" w:rsidP="003849CF">
          <w:r>
            <w:rPr>
              <w:noProof/>
            </w:rPr>
            <w:drawing>
              <wp:inline distT="0" distB="0" distL="0" distR="0" wp14:anchorId="5F3A1691" wp14:editId="52809762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3849CF" w:rsidRDefault="003849CF" w:rsidP="003849CF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3849CF" w:rsidRDefault="003849CF" w:rsidP="003849CF">
          <w:pPr>
            <w:ind w:left="1151" w:firstLine="794"/>
            <w:rPr>
              <w:sz w:val="16"/>
              <w:szCs w:val="16"/>
              <w:lang w:val="it-IT"/>
            </w:rPr>
          </w:pPr>
        </w:p>
        <w:p w:rsidR="003849CF" w:rsidRDefault="003849CF" w:rsidP="003849CF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3849CF" w:rsidRDefault="003849CF" w:rsidP="003849CF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3849CF" w:rsidRDefault="003849CF" w:rsidP="003849CF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3849CF" w:rsidRDefault="003849CF" w:rsidP="003849CF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3849CF" w:rsidRDefault="003849CF" w:rsidP="003849CF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3849CF" w:rsidRPr="003849CF" w:rsidRDefault="003849C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4EA4"/>
    <w:multiLevelType w:val="multilevel"/>
    <w:tmpl w:val="3AF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77CE6"/>
    <w:multiLevelType w:val="multilevel"/>
    <w:tmpl w:val="9FC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421BF"/>
    <w:multiLevelType w:val="multilevel"/>
    <w:tmpl w:val="C12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6796D"/>
    <w:multiLevelType w:val="multilevel"/>
    <w:tmpl w:val="5814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7B"/>
    <w:rsid w:val="0010076F"/>
    <w:rsid w:val="003849CF"/>
    <w:rsid w:val="003B4498"/>
    <w:rsid w:val="00A6797A"/>
    <w:rsid w:val="00B36696"/>
    <w:rsid w:val="00BA2816"/>
    <w:rsid w:val="00E039BA"/>
    <w:rsid w:val="00E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7819"/>
  <w15:chartTrackingRefBased/>
  <w15:docId w15:val="{A7363C59-BFE7-40C9-A01B-C5872D04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849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9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4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CF"/>
  </w:style>
  <w:style w:type="paragraph" w:styleId="Footer">
    <w:name w:val="footer"/>
    <w:basedOn w:val="Normal"/>
    <w:link w:val="FooterChar"/>
    <w:uiPriority w:val="99"/>
    <w:unhideWhenUsed/>
    <w:rsid w:val="00384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CF"/>
  </w:style>
  <w:style w:type="character" w:customStyle="1" w:styleId="Heading1Char">
    <w:name w:val="Heading 1 Char"/>
    <w:basedOn w:val="DefaultParagraphFont"/>
    <w:link w:val="Heading1"/>
    <w:uiPriority w:val="99"/>
    <w:rsid w:val="003849C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849CF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</cp:revision>
  <dcterms:created xsi:type="dcterms:W3CDTF">2026-04-22T06:31:00Z</dcterms:created>
  <dcterms:modified xsi:type="dcterms:W3CDTF">2026-04-22T08:40:00Z</dcterms:modified>
</cp:coreProperties>
</file>